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2333F1" w14:textId="77777777" w:rsidR="0011147E" w:rsidRPr="002E66F8" w:rsidRDefault="0011147E" w:rsidP="0011147E">
      <w:pPr>
        <w:spacing w:line="48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E66F8">
        <w:rPr>
          <w:rFonts w:ascii="Times New Roman" w:hAnsi="Times New Roman" w:cs="Times New Roman"/>
          <w:b/>
          <w:bCs/>
          <w:sz w:val="24"/>
          <w:szCs w:val="24"/>
        </w:rPr>
        <w:t>Response to Kish</w:t>
      </w:r>
    </w:p>
    <w:p w14:paraId="29B76C93" w14:textId="0911DA9E" w:rsidR="0011147E" w:rsidRDefault="004A4E6C" w:rsidP="0011147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Hi Kish,</w:t>
      </w:r>
      <w:r w:rsidR="0011147E" w:rsidRPr="002E66F8">
        <w:rPr>
          <w:rFonts w:ascii="Times New Roman" w:hAnsi="Times New Roman" w:cs="Times New Roman"/>
          <w:sz w:val="24"/>
          <w:szCs w:val="24"/>
        </w:rPr>
        <w:t xml:space="preserve"> I agree with you that lactase is unable to breakdown other sugars. The enzymes are substrate-specific. The lock and key theory explain an enzyme's ability to react on a specific substrate</w:t>
      </w:r>
      <w:r w:rsidR="0011147E">
        <w:rPr>
          <w:rFonts w:ascii="Times New Roman" w:hAnsi="Times New Roman" w:cs="Times New Roman"/>
          <w:sz w:val="24"/>
          <w:szCs w:val="24"/>
        </w:rPr>
        <w:t xml:space="preserve"> (</w:t>
      </w:r>
      <w:r w:rsidR="0011147E" w:rsidRPr="002E66F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Kumar, Pandey, &amp; Singh</w:t>
      </w:r>
      <w:r w:rsidR="0011147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2020)</w:t>
      </w:r>
      <w:r w:rsidR="0011147E">
        <w:rPr>
          <w:rFonts w:ascii="Times New Roman" w:hAnsi="Times New Roman" w:cs="Times New Roman"/>
          <w:sz w:val="24"/>
          <w:szCs w:val="24"/>
        </w:rPr>
        <w:t xml:space="preserve">. </w:t>
      </w:r>
      <w:r w:rsidR="0011147E" w:rsidRPr="002E66F8">
        <w:rPr>
          <w:rFonts w:ascii="Times New Roman" w:hAnsi="Times New Roman" w:cs="Times New Roman"/>
          <w:sz w:val="24"/>
          <w:szCs w:val="24"/>
        </w:rPr>
        <w:t>The theory states that the correctly sized key, the substrate, is the only key able to fit in the lock, which is the enzyme.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1147E" w:rsidRPr="002E66F8">
        <w:rPr>
          <w:rFonts w:ascii="Times New Roman" w:hAnsi="Times New Roman" w:cs="Times New Roman"/>
          <w:sz w:val="24"/>
          <w:szCs w:val="24"/>
        </w:rPr>
        <w:t>The acetylcholinesterase enzyme's function of breaking down acetylcholine into choline and acetic acids suggests that it is mostly found in the postsynaptic neuromuscul</w:t>
      </w:r>
      <w:bookmarkStart w:id="0" w:name="_GoBack"/>
      <w:bookmarkEnd w:id="0"/>
      <w:r w:rsidR="0011147E" w:rsidRPr="002E66F8">
        <w:rPr>
          <w:rFonts w:ascii="Times New Roman" w:hAnsi="Times New Roman" w:cs="Times New Roman"/>
          <w:sz w:val="24"/>
          <w:szCs w:val="24"/>
        </w:rPr>
        <w:t>ar junctions, especially in nerves and muscles. The acetylcholine is found in both the peripheral nervous system and the central nervous system.</w:t>
      </w:r>
      <w:r>
        <w:rPr>
          <w:rFonts w:ascii="Times New Roman" w:hAnsi="Times New Roman" w:cs="Times New Roman"/>
          <w:sz w:val="24"/>
          <w:szCs w:val="24"/>
        </w:rPr>
        <w:t xml:space="preserve"> Thank you for sharing. </w:t>
      </w:r>
    </w:p>
    <w:p w14:paraId="7CCD0629" w14:textId="0596FBFF" w:rsidR="0011147E" w:rsidRPr="004A4E6C" w:rsidRDefault="0011147E" w:rsidP="0056126D">
      <w:pPr>
        <w:spacing w:line="480" w:lineRule="auto"/>
        <w:ind w:firstLine="72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4A4E6C">
        <w:rPr>
          <w:rFonts w:ascii="Times New Roman" w:hAnsi="Times New Roman" w:cs="Times New Roman"/>
          <w:bCs/>
          <w:sz w:val="24"/>
          <w:szCs w:val="24"/>
        </w:rPr>
        <w:t>Reference</w:t>
      </w:r>
    </w:p>
    <w:p w14:paraId="60724D07" w14:textId="77777777" w:rsidR="0011147E" w:rsidRPr="002E66F8" w:rsidRDefault="0011147E" w:rsidP="0056126D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E66F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Kumar, J., Pandey, A., &amp; Singh, S. P. (2020). An introduction to enzyme structure dynamics and enzyme catalysis. </w:t>
      </w:r>
      <w:r w:rsidRPr="004A4E6C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  <w:t>In</w:t>
      </w:r>
      <w:r w:rsidRPr="004A4E6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 </w:t>
      </w:r>
      <w:r w:rsidRPr="002E66F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Biomass, Biofuels, Biochemicals</w:t>
      </w:r>
      <w:r w:rsidRPr="002E66F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4A4E6C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  <w:t>(pp. 3-10).</w:t>
      </w:r>
      <w:r w:rsidRPr="002E66F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4A4E6C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  <w:t>Elsevier</w:t>
      </w:r>
      <w:r w:rsidRPr="002E66F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14:paraId="36A42631" w14:textId="77777777" w:rsidR="00E16236" w:rsidRDefault="00E16236" w:rsidP="0056126D">
      <w:pPr>
        <w:spacing w:line="480" w:lineRule="auto"/>
        <w:ind w:left="720" w:hanging="720"/>
      </w:pPr>
    </w:p>
    <w:sectPr w:rsidR="00E162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147E"/>
    <w:rsid w:val="0011147E"/>
    <w:rsid w:val="00323297"/>
    <w:rsid w:val="004A4E6C"/>
    <w:rsid w:val="0056126D"/>
    <w:rsid w:val="00E16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5537E6"/>
  <w15:chartTrackingRefBased/>
  <w15:docId w15:val="{D56F428A-83BF-4E0D-AC89-DB3B2A605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1147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felister makenga</dc:creator>
  <cp:keywords/>
  <dc:description/>
  <cp:lastModifiedBy>HP</cp:lastModifiedBy>
  <cp:revision>2</cp:revision>
  <dcterms:created xsi:type="dcterms:W3CDTF">2020-09-27T21:33:00Z</dcterms:created>
  <dcterms:modified xsi:type="dcterms:W3CDTF">2020-09-27T21:33:00Z</dcterms:modified>
</cp:coreProperties>
</file>